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6497F53B" w:rsidR="00E91E42" w:rsidRPr="009C4A95" w:rsidRDefault="00242B97" w:rsidP="00E91E42">
      <w:pPr>
        <w:ind w:left="2160" w:firstLine="720"/>
        <w:rPr>
          <w:rFonts w:ascii="Arial" w:hAnsi="Arial" w:cs="Arial"/>
          <w:sz w:val="16"/>
          <w:szCs w:val="16"/>
        </w:rPr>
      </w:pPr>
      <w:r>
        <w:rPr>
          <w:rFonts w:ascii="Arial" w:hAnsi="Arial" w:cs="Arial"/>
          <w:sz w:val="16"/>
          <w:szCs w:val="16"/>
        </w:rPr>
        <w:t xml:space="preserve">March 31,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5</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026E5359" w14:textId="77777777" w:rsidR="00242B97" w:rsidRPr="007B1CC5" w:rsidRDefault="00242B97" w:rsidP="00242B97">
      <w:pPr>
        <w:jc w:val="center"/>
        <w:rPr>
          <w:rFonts w:asciiTheme="minorHAnsi" w:hAnsiTheme="minorHAnsi" w:cstheme="minorHAnsi"/>
          <w:b/>
          <w:bCs/>
          <w:sz w:val="28"/>
          <w:szCs w:val="28"/>
        </w:rPr>
      </w:pPr>
      <w:r w:rsidRPr="007B1CC5">
        <w:rPr>
          <w:rFonts w:asciiTheme="minorHAnsi" w:hAnsiTheme="minorHAnsi" w:cstheme="minorHAnsi"/>
          <w:b/>
          <w:bCs/>
          <w:sz w:val="28"/>
          <w:szCs w:val="28"/>
        </w:rPr>
        <w:t>Surgical Interventions for Ingrown Toenails</w:t>
      </w:r>
    </w:p>
    <w:p w14:paraId="5D803D52" w14:textId="77777777" w:rsidR="00242B97" w:rsidRDefault="00242B97" w:rsidP="00242B97">
      <w:pPr>
        <w:jc w:val="both"/>
        <w:rPr>
          <w:rFonts w:asciiTheme="minorHAnsi" w:hAnsiTheme="minorHAnsi" w:cstheme="minorHAnsi"/>
        </w:rPr>
      </w:pPr>
    </w:p>
    <w:p w14:paraId="1BBD5147" w14:textId="77777777" w:rsidR="00242B97" w:rsidRPr="007B1CC5" w:rsidRDefault="00242B97" w:rsidP="00242B97">
      <w:pPr>
        <w:jc w:val="both"/>
        <w:rPr>
          <w:rFonts w:asciiTheme="minorHAnsi" w:hAnsiTheme="minorHAnsi" w:cstheme="minorHAnsi"/>
          <w:sz w:val="23"/>
          <w:szCs w:val="23"/>
          <w:lang w:val="en-GB"/>
        </w:rPr>
      </w:pPr>
      <w:r w:rsidRPr="007B1CC5">
        <w:rPr>
          <w:rFonts w:asciiTheme="minorHAnsi" w:hAnsiTheme="minorHAnsi" w:cstheme="minorHAnsi"/>
          <w:sz w:val="23"/>
          <w:szCs w:val="23"/>
        </w:rPr>
        <w:t xml:space="preserve">An ingrown toenail is a very literal term and indicates that somehow – usually through trauma or improper cutting, a fragment of nail has broken the skin and is imbedded into the flesh. </w:t>
      </w:r>
      <w:r w:rsidRPr="007B1CC5">
        <w:rPr>
          <w:rFonts w:asciiTheme="minorHAnsi" w:eastAsiaTheme="minorHAnsi" w:hAnsiTheme="minorHAnsi" w:cstheme="minorHAnsi"/>
          <w:sz w:val="23"/>
          <w:szCs w:val="23"/>
          <w:lang w:val="en-GB"/>
        </w:rPr>
        <w:t>Sometimes along with the pain, there is swelling, pustular exudate, hypergranulation tissue and paronychia</w:t>
      </w:r>
      <w:r w:rsidRPr="007B1CC5">
        <w:rPr>
          <w:rFonts w:asciiTheme="minorHAnsi" w:hAnsiTheme="minorHAnsi" w:cstheme="minorHAnsi"/>
          <w:sz w:val="23"/>
          <w:szCs w:val="23"/>
          <w:lang w:val="en-GB"/>
        </w:rPr>
        <w:t>. In many cases, skilful wedge resections can be undertaken with no anaesthetic and only minor discomfort. Where the pain is excessive, the hypergranulation tissue is extreme, or the ingrown toenail is recurrent or unresolving, a surgical solution may have to be considered.</w:t>
      </w:r>
    </w:p>
    <w:p w14:paraId="48E3DD25" w14:textId="77777777" w:rsidR="00242B97" w:rsidRPr="007B1CC5" w:rsidRDefault="00242B97" w:rsidP="00242B97">
      <w:pPr>
        <w:jc w:val="both"/>
        <w:rPr>
          <w:rFonts w:asciiTheme="minorHAnsi" w:hAnsiTheme="minorHAnsi" w:cstheme="minorHAnsi"/>
          <w:sz w:val="23"/>
          <w:szCs w:val="23"/>
          <w:lang w:val="en-GB"/>
        </w:rPr>
      </w:pPr>
    </w:p>
    <w:p w14:paraId="68A7B1CD" w14:textId="77777777" w:rsidR="00242B97" w:rsidRPr="007B1CC5" w:rsidRDefault="00242B97" w:rsidP="00242B97">
      <w:pPr>
        <w:jc w:val="both"/>
        <w:rPr>
          <w:rFonts w:asciiTheme="minorHAnsi" w:hAnsiTheme="minorHAnsi" w:cstheme="minorHAnsi"/>
          <w:sz w:val="23"/>
          <w:szCs w:val="23"/>
          <w:lang w:val="en-GB"/>
        </w:rPr>
      </w:pPr>
      <w:r w:rsidRPr="007B1CC5">
        <w:rPr>
          <w:rFonts w:asciiTheme="minorHAnsi" w:hAnsiTheme="minorHAnsi" w:cstheme="minorHAnsi"/>
          <w:sz w:val="23"/>
          <w:szCs w:val="23"/>
          <w:lang w:val="en-GB"/>
        </w:rPr>
        <w:t>In each of these cases, the appropriate procedure is performed under local anaesthesia, with a digital block accomplished by injecting the anaesthetic of choice around the medial and lateral proper digital nerves. Generally, 2-3 ml of 2% Xylocaine plain will suffice. No procedure is ever undertaken without ensuring that the patient is truly without feeling.</w:t>
      </w:r>
    </w:p>
    <w:p w14:paraId="045CEBC1" w14:textId="77777777" w:rsidR="00242B97" w:rsidRPr="007B1CC5" w:rsidRDefault="00242B97" w:rsidP="00242B97">
      <w:pPr>
        <w:jc w:val="both"/>
        <w:rPr>
          <w:rFonts w:asciiTheme="minorHAnsi" w:hAnsiTheme="minorHAnsi" w:cstheme="minorHAnsi"/>
          <w:sz w:val="23"/>
          <w:szCs w:val="23"/>
          <w:lang w:val="en-GB"/>
        </w:rPr>
      </w:pPr>
    </w:p>
    <w:p w14:paraId="7BCCFC43" w14:textId="77777777" w:rsidR="00242B97" w:rsidRPr="007B1CC5" w:rsidRDefault="00242B97" w:rsidP="00242B97">
      <w:pPr>
        <w:jc w:val="both"/>
        <w:rPr>
          <w:rFonts w:asciiTheme="minorHAnsi" w:hAnsiTheme="minorHAnsi" w:cstheme="minorHAnsi"/>
          <w:sz w:val="23"/>
          <w:szCs w:val="23"/>
          <w:lang w:val="en-GB"/>
        </w:rPr>
      </w:pPr>
      <w:r w:rsidRPr="007B1CC5">
        <w:rPr>
          <w:rFonts w:asciiTheme="minorHAnsi" w:hAnsiTheme="minorHAnsi" w:cstheme="minorHAnsi"/>
          <w:sz w:val="23"/>
          <w:szCs w:val="23"/>
          <w:lang w:val="en-GB"/>
        </w:rPr>
        <w:t>If the hypergranulation tissue is minimal to moderate and the ingrown section is unilateral or bilateral, usually the entire nail does not have to be removed, instead bilateral wedge resections can be performed. It is important to ensure that the remaining nail borders are smooth with graduated angles to ensure no further insult occurs as the nail grows out. If the hypergranulation tissue is extensive, a total nail avulsion may be the only way to ensure that the swelling and infection will resolve. In each of these cases, the nail will grow back, as the matrix is left undamaged.</w:t>
      </w:r>
    </w:p>
    <w:p w14:paraId="01F69C8A" w14:textId="77777777" w:rsidR="00242B97" w:rsidRPr="007B1CC5" w:rsidRDefault="00242B97" w:rsidP="00242B97">
      <w:pPr>
        <w:jc w:val="both"/>
        <w:rPr>
          <w:rFonts w:asciiTheme="minorHAnsi" w:hAnsiTheme="minorHAnsi" w:cstheme="minorHAnsi"/>
          <w:sz w:val="23"/>
          <w:szCs w:val="23"/>
          <w:lang w:val="en-GB"/>
        </w:rPr>
      </w:pPr>
    </w:p>
    <w:p w14:paraId="6CE019E5" w14:textId="77777777" w:rsidR="00242B97" w:rsidRPr="007B1CC5" w:rsidRDefault="00242B97" w:rsidP="00242B97">
      <w:pPr>
        <w:jc w:val="both"/>
        <w:rPr>
          <w:rFonts w:asciiTheme="minorHAnsi" w:hAnsiTheme="minorHAnsi" w:cstheme="minorHAnsi"/>
          <w:sz w:val="23"/>
          <w:szCs w:val="23"/>
          <w:lang w:val="en-GB"/>
        </w:rPr>
      </w:pPr>
      <w:r w:rsidRPr="007B1CC5">
        <w:rPr>
          <w:rFonts w:asciiTheme="minorHAnsi" w:hAnsiTheme="minorHAnsi" w:cstheme="minorHAnsi"/>
          <w:sz w:val="23"/>
          <w:szCs w:val="23"/>
          <w:lang w:val="en-GB"/>
        </w:rPr>
        <w:t>If the pain or infection is recurrent or not resolving, a permanent solution is indicated. Partial nail avulsions (unilateral or bilateral) or total nail avulsions are performed with a focus on minimizing trauma and healing time. Phenol matrisectomies ensure no sutures are required. Blunt dissection with nail elevators separate the nail plate from the nail bed with minimal trauma and patients’ recovery time is reduced.</w:t>
      </w:r>
    </w:p>
    <w:p w14:paraId="6C4E5622" w14:textId="77777777" w:rsidR="00242B97" w:rsidRPr="007B1CC5" w:rsidRDefault="00242B97" w:rsidP="00242B97">
      <w:pPr>
        <w:jc w:val="both"/>
        <w:rPr>
          <w:rFonts w:asciiTheme="minorHAnsi" w:hAnsiTheme="minorHAnsi" w:cstheme="minorHAnsi"/>
          <w:sz w:val="23"/>
          <w:szCs w:val="23"/>
          <w:lang w:val="en-GB"/>
        </w:rPr>
      </w:pPr>
    </w:p>
    <w:p w14:paraId="144B555C" w14:textId="77777777" w:rsidR="00242B97" w:rsidRPr="007B1CC5" w:rsidRDefault="00242B97" w:rsidP="00242B97">
      <w:pPr>
        <w:jc w:val="both"/>
        <w:rPr>
          <w:rFonts w:asciiTheme="minorHAnsi" w:hAnsiTheme="minorHAnsi" w:cstheme="minorHAnsi"/>
          <w:sz w:val="23"/>
          <w:szCs w:val="23"/>
        </w:rPr>
      </w:pPr>
      <w:r w:rsidRPr="007B1CC5">
        <w:rPr>
          <w:rFonts w:asciiTheme="minorHAnsi" w:hAnsiTheme="minorHAnsi" w:cstheme="minorHAnsi"/>
          <w:sz w:val="23"/>
          <w:szCs w:val="23"/>
          <w:lang w:val="en-GB"/>
        </w:rPr>
        <w:t>At The Foot Advantage we are experienced at providing a conservative or surgical solution to ingrown toenails that has at the centre of the treatment plan, the patient’s wishes and ambitions and a desire to ensure the most pleasant patient experience possible and the most desirable clinical outcomes.</w:t>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0A9C2921" w14:textId="13F7DDAA" w:rsidR="00CB38A7" w:rsidRDefault="00267AC4" w:rsidP="00242B97">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w:t>
      </w:r>
      <w:r w:rsidR="00242B97">
        <w:rPr>
          <w:rFonts w:ascii="Arial" w:hAnsi="Arial" w:cs="Arial"/>
          <w:b/>
          <w:bCs/>
          <w:spacing w:val="-3"/>
          <w:sz w:val="22"/>
          <w:szCs w:val="22"/>
        </w:rPr>
        <w:t>d</w:t>
      </w:r>
    </w:p>
    <w:sectPr w:rsidR="00CB38A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D156" w14:textId="77777777" w:rsidR="00574997" w:rsidRDefault="00574997">
      <w:r>
        <w:separator/>
      </w:r>
    </w:p>
  </w:endnote>
  <w:endnote w:type="continuationSeparator" w:id="0">
    <w:p w14:paraId="1F6B970C" w14:textId="77777777" w:rsidR="00574997" w:rsidRDefault="0057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C990" w14:textId="77777777" w:rsidR="00574997" w:rsidRDefault="00574997">
      <w:r>
        <w:separator/>
      </w:r>
    </w:p>
  </w:footnote>
  <w:footnote w:type="continuationSeparator" w:id="0">
    <w:p w14:paraId="2DF2B222" w14:textId="77777777" w:rsidR="00574997" w:rsidRDefault="0057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6AF5"/>
    <w:rsid w:val="001521BE"/>
    <w:rsid w:val="0018579C"/>
    <w:rsid w:val="001F1AAF"/>
    <w:rsid w:val="001F62F7"/>
    <w:rsid w:val="002134FF"/>
    <w:rsid w:val="00221504"/>
    <w:rsid w:val="0022639C"/>
    <w:rsid w:val="00242B97"/>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574997"/>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46DD7"/>
    <w:rsid w:val="00852915"/>
    <w:rsid w:val="008A3DFE"/>
    <w:rsid w:val="00924547"/>
    <w:rsid w:val="009252F4"/>
    <w:rsid w:val="00927E63"/>
    <w:rsid w:val="00936453"/>
    <w:rsid w:val="0095376B"/>
    <w:rsid w:val="009C4A95"/>
    <w:rsid w:val="009C5823"/>
    <w:rsid w:val="009D0E6D"/>
    <w:rsid w:val="009F6DF1"/>
    <w:rsid w:val="00A1531A"/>
    <w:rsid w:val="00A170BD"/>
    <w:rsid w:val="00A91285"/>
    <w:rsid w:val="00B15DE0"/>
    <w:rsid w:val="00BC6164"/>
    <w:rsid w:val="00BF4BF2"/>
    <w:rsid w:val="00C0429E"/>
    <w:rsid w:val="00C12128"/>
    <w:rsid w:val="00C34BBA"/>
    <w:rsid w:val="00C508BA"/>
    <w:rsid w:val="00C56A79"/>
    <w:rsid w:val="00C72038"/>
    <w:rsid w:val="00C848BB"/>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2025-03-17T02:12:00Z</dcterms:created>
  <dcterms:modified xsi:type="dcterms:W3CDTF">2025-03-17T02:12:00Z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